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AA36E" w14:textId="77777777" w:rsidR="00827BC7" w:rsidRDefault="00827BC7" w:rsidP="00870401">
      <w:pPr>
        <w:jc w:val="center"/>
        <w:rPr>
          <w:rFonts w:cs="Arial"/>
          <w:b/>
          <w:sz w:val="32"/>
          <w:szCs w:val="32"/>
        </w:rPr>
      </w:pPr>
    </w:p>
    <w:p w14:paraId="34FC9079" w14:textId="77777777" w:rsidR="00827BC7" w:rsidRDefault="00827BC7" w:rsidP="00870401">
      <w:pPr>
        <w:jc w:val="center"/>
        <w:rPr>
          <w:rFonts w:cs="Arial"/>
          <w:b/>
          <w:sz w:val="32"/>
          <w:szCs w:val="32"/>
        </w:rPr>
      </w:pPr>
    </w:p>
    <w:p w14:paraId="6AE13C39" w14:textId="77777777" w:rsidR="00870401" w:rsidRPr="00827BC7" w:rsidRDefault="00870401" w:rsidP="00870401">
      <w:pPr>
        <w:jc w:val="center"/>
        <w:rPr>
          <w:rFonts w:cs="Arial"/>
          <w:b/>
          <w:sz w:val="36"/>
          <w:szCs w:val="36"/>
        </w:rPr>
      </w:pPr>
      <w:r w:rsidRPr="00827BC7">
        <w:rPr>
          <w:rFonts w:cs="Arial"/>
          <w:b/>
          <w:sz w:val="36"/>
          <w:szCs w:val="36"/>
        </w:rPr>
        <w:t>CORPORATE COMPLIANCE</w:t>
      </w:r>
    </w:p>
    <w:p w14:paraId="64BDDC3B" w14:textId="5DD05868" w:rsidR="00870401" w:rsidRPr="00827BC7" w:rsidRDefault="00870401" w:rsidP="00870401">
      <w:pPr>
        <w:jc w:val="center"/>
        <w:rPr>
          <w:rFonts w:cs="Arial"/>
          <w:b/>
          <w:sz w:val="36"/>
          <w:szCs w:val="36"/>
        </w:rPr>
      </w:pPr>
      <w:r w:rsidRPr="00827BC7">
        <w:rPr>
          <w:rFonts w:cs="Arial"/>
          <w:b/>
          <w:sz w:val="36"/>
          <w:szCs w:val="36"/>
        </w:rPr>
        <w:t>WHAT IS IT AND WHY SHOULD YOU CARE?</w:t>
      </w:r>
    </w:p>
    <w:p w14:paraId="15B335F6" w14:textId="77777777" w:rsidR="00870401" w:rsidRDefault="00870401" w:rsidP="00870401">
      <w:pPr>
        <w:jc w:val="center"/>
        <w:rPr>
          <w:rFonts w:cs="Arial"/>
          <w:b/>
          <w:sz w:val="32"/>
          <w:szCs w:val="32"/>
        </w:rPr>
      </w:pPr>
    </w:p>
    <w:p w14:paraId="2FD2FC02" w14:textId="77777777" w:rsidR="00827BC7" w:rsidRDefault="00827BC7" w:rsidP="00870401">
      <w:pPr>
        <w:jc w:val="center"/>
        <w:rPr>
          <w:rFonts w:cs="Arial"/>
          <w:b/>
          <w:sz w:val="32"/>
          <w:szCs w:val="32"/>
        </w:rPr>
      </w:pPr>
    </w:p>
    <w:p w14:paraId="5B9223D5" w14:textId="0AF0EB0E" w:rsidR="006C3BDF" w:rsidRPr="00827BC7" w:rsidRDefault="006C3BDF" w:rsidP="00870401">
      <w:pPr>
        <w:jc w:val="center"/>
        <w:rPr>
          <w:rFonts w:cs="Arial"/>
          <w:b/>
          <w:sz w:val="28"/>
          <w:szCs w:val="28"/>
        </w:rPr>
      </w:pPr>
      <w:r w:rsidRPr="00827BC7">
        <w:rPr>
          <w:rFonts w:cs="Arial"/>
          <w:sz w:val="28"/>
          <w:szCs w:val="28"/>
        </w:rPr>
        <w:t>A Roundtable/CLE presented by the Oregon State Bar Corporate Counsel Section</w:t>
      </w:r>
    </w:p>
    <w:p w14:paraId="10759C11" w14:textId="77777777" w:rsidR="006C3BDF" w:rsidRPr="00827BC7" w:rsidRDefault="006C3BDF" w:rsidP="00870401">
      <w:pPr>
        <w:jc w:val="center"/>
        <w:rPr>
          <w:rFonts w:cs="Arial"/>
          <w:b/>
          <w:sz w:val="28"/>
          <w:szCs w:val="28"/>
        </w:rPr>
      </w:pPr>
    </w:p>
    <w:p w14:paraId="15D78D5E" w14:textId="50ECF480" w:rsidR="00870401" w:rsidRPr="00827BC7" w:rsidRDefault="00870401" w:rsidP="00870401">
      <w:pPr>
        <w:jc w:val="center"/>
        <w:rPr>
          <w:rFonts w:cs="Arial"/>
          <w:sz w:val="28"/>
          <w:szCs w:val="28"/>
        </w:rPr>
      </w:pPr>
      <w:r w:rsidRPr="00827BC7">
        <w:rPr>
          <w:rFonts w:cs="Arial"/>
          <w:sz w:val="28"/>
          <w:szCs w:val="28"/>
        </w:rPr>
        <w:t>Thursday, April 26, 2012</w:t>
      </w:r>
    </w:p>
    <w:p w14:paraId="7C825A66" w14:textId="77777777" w:rsidR="00827BC7" w:rsidRPr="00827BC7" w:rsidRDefault="00827BC7" w:rsidP="00595D7C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cs="Arial"/>
          <w:sz w:val="28"/>
          <w:szCs w:val="28"/>
        </w:rPr>
      </w:pPr>
    </w:p>
    <w:p w14:paraId="1A48EDAD" w14:textId="316CDBD6" w:rsidR="00595D7C" w:rsidRPr="00827BC7" w:rsidRDefault="00595D7C" w:rsidP="00595D7C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ascii="Georgia" w:hAnsi="Georgia" w:cs="Georgia"/>
          <w:sz w:val="28"/>
          <w:szCs w:val="28"/>
        </w:rPr>
      </w:pPr>
      <w:r w:rsidRPr="00827BC7">
        <w:rPr>
          <w:rFonts w:cs="Arial"/>
          <w:sz w:val="28"/>
          <w:szCs w:val="28"/>
        </w:rPr>
        <w:t>Oregon State Bar, 16037 SW Upper Boones Ferry Rd, Tigard, OR 97224</w:t>
      </w:r>
    </w:p>
    <w:p w14:paraId="39089BAC" w14:textId="77777777" w:rsidR="00595D7C" w:rsidRPr="00827BC7" w:rsidRDefault="00595D7C" w:rsidP="00870401">
      <w:pPr>
        <w:jc w:val="center"/>
        <w:rPr>
          <w:rFonts w:cs="Arial"/>
          <w:sz w:val="28"/>
          <w:szCs w:val="28"/>
        </w:rPr>
      </w:pPr>
    </w:p>
    <w:p w14:paraId="251D4A42" w14:textId="77777777" w:rsidR="006C3BDF" w:rsidRPr="00827BC7" w:rsidRDefault="006C3BDF" w:rsidP="00870401">
      <w:pPr>
        <w:jc w:val="center"/>
        <w:rPr>
          <w:rFonts w:cs="Arial"/>
          <w:sz w:val="28"/>
          <w:szCs w:val="28"/>
        </w:rPr>
      </w:pPr>
    </w:p>
    <w:p w14:paraId="3C7F58E7" w14:textId="77777777" w:rsidR="00827BC7" w:rsidRPr="00827BC7" w:rsidRDefault="00827BC7" w:rsidP="00870401">
      <w:pPr>
        <w:jc w:val="center"/>
        <w:rPr>
          <w:rFonts w:cs="Arial"/>
          <w:sz w:val="28"/>
          <w:szCs w:val="28"/>
        </w:rPr>
      </w:pPr>
    </w:p>
    <w:p w14:paraId="020D46F1" w14:textId="77777777" w:rsidR="006C3BDF" w:rsidRPr="00827BC7" w:rsidRDefault="006C3BDF" w:rsidP="00870401">
      <w:pPr>
        <w:jc w:val="center"/>
        <w:rPr>
          <w:rFonts w:cs="Arial"/>
          <w:sz w:val="28"/>
          <w:szCs w:val="28"/>
        </w:rPr>
      </w:pPr>
      <w:r w:rsidRPr="00827BC7">
        <w:rPr>
          <w:rFonts w:cs="Arial"/>
          <w:sz w:val="28"/>
          <w:szCs w:val="28"/>
        </w:rPr>
        <w:t>Breakfast:  8:00 am – 8:30 am</w:t>
      </w:r>
    </w:p>
    <w:p w14:paraId="1CDC77CF" w14:textId="5BC4B9EB" w:rsidR="00870401" w:rsidRPr="00827BC7" w:rsidRDefault="006C3BDF" w:rsidP="00870401">
      <w:pPr>
        <w:jc w:val="center"/>
        <w:rPr>
          <w:rFonts w:cs="Arial"/>
          <w:sz w:val="28"/>
          <w:szCs w:val="28"/>
        </w:rPr>
      </w:pPr>
      <w:r w:rsidRPr="00827BC7">
        <w:rPr>
          <w:rFonts w:cs="Arial"/>
          <w:sz w:val="28"/>
          <w:szCs w:val="28"/>
        </w:rPr>
        <w:t>Presentation:  8:30 am – 9:30 am</w:t>
      </w:r>
    </w:p>
    <w:p w14:paraId="1A356CDC" w14:textId="0C2AA895" w:rsidR="00870401" w:rsidRPr="00827BC7" w:rsidRDefault="00870401" w:rsidP="00870401">
      <w:pPr>
        <w:jc w:val="center"/>
        <w:rPr>
          <w:rFonts w:cs="Arial"/>
          <w:sz w:val="28"/>
          <w:szCs w:val="28"/>
        </w:rPr>
      </w:pPr>
    </w:p>
    <w:p w14:paraId="0296687B" w14:textId="77777777" w:rsidR="00827BC7" w:rsidRPr="00827BC7" w:rsidRDefault="00827BC7" w:rsidP="00870401">
      <w:pPr>
        <w:jc w:val="center"/>
        <w:rPr>
          <w:rFonts w:cs="Arial"/>
          <w:sz w:val="28"/>
          <w:szCs w:val="28"/>
        </w:rPr>
      </w:pPr>
    </w:p>
    <w:p w14:paraId="5F32D76D" w14:textId="77777777" w:rsidR="00827BC7" w:rsidRPr="00827BC7" w:rsidRDefault="00827BC7" w:rsidP="00870401">
      <w:pPr>
        <w:jc w:val="center"/>
        <w:rPr>
          <w:rFonts w:cs="Arial"/>
          <w:sz w:val="28"/>
          <w:szCs w:val="28"/>
        </w:rPr>
      </w:pPr>
    </w:p>
    <w:p w14:paraId="57763860" w14:textId="79D6A5E5" w:rsidR="006C3BDF" w:rsidRPr="00827BC7" w:rsidRDefault="00595D7C" w:rsidP="00870401">
      <w:pPr>
        <w:jc w:val="center"/>
        <w:rPr>
          <w:rFonts w:cs="Arial"/>
          <w:b/>
          <w:sz w:val="28"/>
          <w:szCs w:val="28"/>
        </w:rPr>
      </w:pPr>
      <w:r w:rsidRPr="00827BC7">
        <w:rPr>
          <w:rFonts w:cs="Arial"/>
          <w:sz w:val="28"/>
          <w:szCs w:val="28"/>
        </w:rPr>
        <w:t>One hour CLE credit for this program pending.</w:t>
      </w:r>
    </w:p>
    <w:p w14:paraId="358922CB" w14:textId="77777777" w:rsidR="00595D7C" w:rsidRPr="00827BC7" w:rsidRDefault="00595D7C" w:rsidP="00870401">
      <w:pPr>
        <w:jc w:val="center"/>
        <w:rPr>
          <w:rFonts w:cs="Arial"/>
          <w:b/>
          <w:sz w:val="28"/>
          <w:szCs w:val="28"/>
        </w:rPr>
      </w:pPr>
    </w:p>
    <w:p w14:paraId="3AA743BE" w14:textId="77777777" w:rsidR="00595D7C" w:rsidRDefault="00595D7C" w:rsidP="00870401">
      <w:pPr>
        <w:jc w:val="center"/>
        <w:rPr>
          <w:rFonts w:cs="Arial"/>
          <w:b/>
        </w:rPr>
      </w:pPr>
    </w:p>
    <w:p w14:paraId="2EF1855F" w14:textId="77777777" w:rsidR="00827BC7" w:rsidRDefault="00827BC7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393ECC3E" w14:textId="54C544E9" w:rsidR="006C3BDF" w:rsidRDefault="006C3BDF" w:rsidP="00870401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Speaker Bios</w:t>
      </w:r>
    </w:p>
    <w:p w14:paraId="2BC19AA1" w14:textId="77777777" w:rsidR="00595D7C" w:rsidRDefault="00595D7C" w:rsidP="00595D7C"/>
    <w:p w14:paraId="583F3FCE" w14:textId="77777777" w:rsidR="00827BC7" w:rsidRDefault="00827BC7" w:rsidP="00595D7C"/>
    <w:p w14:paraId="77AE7D89" w14:textId="77777777" w:rsidR="00827BC7" w:rsidRDefault="00827BC7" w:rsidP="00595D7C">
      <w:pPr>
        <w:widowControl w:val="0"/>
        <w:autoSpaceDE w:val="0"/>
        <w:autoSpaceDN w:val="0"/>
        <w:adjustRightInd w:val="0"/>
        <w:rPr>
          <w:rFonts w:cs="Arial"/>
          <w:b/>
        </w:rPr>
      </w:pPr>
    </w:p>
    <w:p w14:paraId="3D55E4C3" w14:textId="77777777" w:rsidR="00595D7C" w:rsidRPr="007E4B6D" w:rsidRDefault="00595D7C" w:rsidP="00595D7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595D7C">
        <w:rPr>
          <w:rFonts w:cs="Arial"/>
          <w:b/>
        </w:rPr>
        <w:t>A</w:t>
      </w:r>
      <w:r w:rsidRPr="00595D7C">
        <w:rPr>
          <w:b/>
        </w:rPr>
        <w:t>lex Duarte</w:t>
      </w:r>
      <w:r w:rsidRPr="007E4B6D">
        <w:t xml:space="preserve"> is Compliance Counsel in Precision Castparts Corp.’s Legal department at its global headquarters in Portland.  Prior to joining PCC, Alex was Corporate Counsel for Qwest Communications in Portland and Denver.</w:t>
      </w:r>
    </w:p>
    <w:p w14:paraId="7F85080A" w14:textId="77777777" w:rsidR="00F51F2D" w:rsidRDefault="00F51F2D" w:rsidP="00F51F2D">
      <w:pPr>
        <w:rPr>
          <w:rFonts w:cs="Arial"/>
          <w:b/>
          <w:color w:val="444444"/>
        </w:rPr>
      </w:pPr>
    </w:p>
    <w:p w14:paraId="7C12F623" w14:textId="77777777" w:rsidR="00827BC7" w:rsidRDefault="00827BC7" w:rsidP="00F51F2D">
      <w:pPr>
        <w:rPr>
          <w:rFonts w:cs="Arial"/>
          <w:b/>
          <w:color w:val="444444"/>
        </w:rPr>
      </w:pPr>
    </w:p>
    <w:p w14:paraId="7A894766" w14:textId="77777777" w:rsidR="00F51F2D" w:rsidRPr="007E4B6D" w:rsidRDefault="00F51F2D" w:rsidP="00F51F2D">
      <w:pPr>
        <w:rPr>
          <w:rFonts w:cs="Arial"/>
          <w:color w:val="444444"/>
        </w:rPr>
      </w:pPr>
      <w:r w:rsidRPr="00595D7C">
        <w:rPr>
          <w:rFonts w:cs="Arial"/>
          <w:b/>
          <w:color w:val="444444"/>
        </w:rPr>
        <w:t>Jo Levy</w:t>
      </w:r>
      <w:r w:rsidRPr="007E4B6D">
        <w:rPr>
          <w:rFonts w:cs="Arial"/>
          <w:color w:val="444444"/>
        </w:rPr>
        <w:t xml:space="preserve"> is the Global Director of Ethics &amp; Legal Compliance at Intel Corporation.  She oversees Intel's worldwide legal compliance programs, which include the </w:t>
      </w:r>
      <w:proofErr w:type="gramStart"/>
      <w:r w:rsidRPr="007E4B6D">
        <w:rPr>
          <w:rFonts w:cs="Arial"/>
          <w:color w:val="444444"/>
        </w:rPr>
        <w:t>antitrust</w:t>
      </w:r>
      <w:proofErr w:type="gramEnd"/>
      <w:r w:rsidRPr="007E4B6D">
        <w:rPr>
          <w:rFonts w:cs="Arial"/>
          <w:color w:val="444444"/>
        </w:rPr>
        <w:t xml:space="preserve"> and anti-corruption compliance programs, as well as internal investigations directed by the Legal &amp; Corporate Affairs Group.  She also co-chairs Intel’s Ethics &amp; Compliance Oversight Committee. </w:t>
      </w:r>
    </w:p>
    <w:p w14:paraId="59505993" w14:textId="77777777" w:rsidR="00F51F2D" w:rsidRDefault="00F51F2D" w:rsidP="00595D7C"/>
    <w:p w14:paraId="7E79A934" w14:textId="77777777" w:rsidR="00827BC7" w:rsidRPr="007E4B6D" w:rsidRDefault="00827BC7" w:rsidP="00595D7C"/>
    <w:p w14:paraId="62A957DE" w14:textId="77777777" w:rsidR="00595D7C" w:rsidRPr="007E4B6D" w:rsidRDefault="00595D7C" w:rsidP="00595D7C">
      <w:pPr>
        <w:rPr>
          <w:rFonts w:cs="Arial"/>
        </w:rPr>
      </w:pPr>
      <w:r w:rsidRPr="00595D7C">
        <w:rPr>
          <w:rFonts w:cs="Arial"/>
          <w:b/>
        </w:rPr>
        <w:t>David Meisels</w:t>
      </w:r>
      <w:r w:rsidRPr="007E4B6D">
        <w:rPr>
          <w:rFonts w:cs="Arial"/>
        </w:rPr>
        <w:t xml:space="preserve"> covers the compliance function as part of his overall responsibilities as Vice President and General Counsel of D&amp;M Holdings, Inc., a global manufacturer of super-premium audio brands such as McIntosh and </w:t>
      </w:r>
      <w:proofErr w:type="spellStart"/>
      <w:r w:rsidRPr="007E4B6D">
        <w:rPr>
          <w:rFonts w:cs="Arial"/>
        </w:rPr>
        <w:t>Denon</w:t>
      </w:r>
      <w:bookmarkStart w:id="0" w:name="_GoBack"/>
      <w:bookmarkEnd w:id="0"/>
      <w:proofErr w:type="spellEnd"/>
      <w:r w:rsidRPr="007E4B6D">
        <w:rPr>
          <w:rFonts w:cs="Arial"/>
        </w:rPr>
        <w:t>.</w:t>
      </w:r>
    </w:p>
    <w:p w14:paraId="3C9B1302" w14:textId="227D9114" w:rsidR="00595D7C" w:rsidRDefault="00595D7C" w:rsidP="00595D7C"/>
    <w:p w14:paraId="24350939" w14:textId="06FF00C2" w:rsidR="00595D7C" w:rsidRDefault="00595D7C" w:rsidP="00595D7C"/>
    <w:p w14:paraId="335C5C23" w14:textId="77777777" w:rsidR="00827BC7" w:rsidRDefault="00827BC7" w:rsidP="00827BC7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595D7C">
        <w:rPr>
          <w:b/>
        </w:rPr>
        <w:t>Amy Blumenberg</w:t>
      </w:r>
      <w:r w:rsidRPr="007E4B6D">
        <w:t xml:space="preserve"> </w:t>
      </w:r>
      <w:r>
        <w:t xml:space="preserve">(Moderator) </w:t>
      </w:r>
      <w:r w:rsidRPr="007E4B6D">
        <w:t xml:space="preserve">is the founder and managing attorney of </w:t>
      </w:r>
      <w:proofErr w:type="spellStart"/>
      <w:r w:rsidRPr="007E4B6D">
        <w:t>OnSiteGC</w:t>
      </w:r>
      <w:proofErr w:type="spellEnd"/>
      <w:r w:rsidRPr="007E4B6D">
        <w:t xml:space="preserve">, an innovative provider of managed legal and outsourced general counsel services.  She provides overflow and special projects support to established legal departments </w:t>
      </w:r>
      <w:r>
        <w:t>and serves</w:t>
      </w:r>
      <w:r w:rsidRPr="007E4B6D">
        <w:t xml:space="preserve"> as outside general counsel for </w:t>
      </w:r>
      <w:r>
        <w:t>emergi</w:t>
      </w:r>
      <w:r w:rsidRPr="007E4B6D">
        <w:t>ng businesses and non-profits.</w:t>
      </w:r>
    </w:p>
    <w:p w14:paraId="79476B99" w14:textId="77777777" w:rsidR="00827BC7" w:rsidRDefault="00827BC7" w:rsidP="00827BC7">
      <w:pPr>
        <w:widowControl w:val="0"/>
        <w:autoSpaceDE w:val="0"/>
        <w:autoSpaceDN w:val="0"/>
        <w:adjustRightInd w:val="0"/>
        <w:rPr>
          <w:rFonts w:cs="Arial"/>
          <w:b/>
        </w:rPr>
      </w:pPr>
    </w:p>
    <w:p w14:paraId="479B7ECD" w14:textId="77777777" w:rsidR="00827BC7" w:rsidRPr="00DA2E45" w:rsidRDefault="00827BC7" w:rsidP="00595D7C"/>
    <w:p w14:paraId="2FC39A70" w14:textId="7F3B2969" w:rsidR="00870401" w:rsidRPr="00870401" w:rsidRDefault="00870401" w:rsidP="00870401">
      <w:pPr>
        <w:jc w:val="center"/>
        <w:rPr>
          <w:rFonts w:cs="Arial"/>
          <w:b/>
        </w:rPr>
      </w:pPr>
      <w:r w:rsidRPr="00870401">
        <w:rPr>
          <w:rFonts w:cs="Arial"/>
          <w:b/>
        </w:rPr>
        <w:br w:type="page"/>
      </w:r>
    </w:p>
    <w:p w14:paraId="6B6BB6D4" w14:textId="43F7D853" w:rsidR="00DF1F02" w:rsidRDefault="00DF1F02" w:rsidP="00827BC7">
      <w:pPr>
        <w:spacing w:before="120" w:after="120"/>
        <w:jc w:val="center"/>
        <w:rPr>
          <w:rFonts w:cs="Arial"/>
          <w:b/>
          <w:sz w:val="32"/>
          <w:szCs w:val="32"/>
          <w:u w:val="single"/>
        </w:rPr>
      </w:pPr>
      <w:r w:rsidRPr="00827BC7">
        <w:rPr>
          <w:rFonts w:cs="Arial"/>
          <w:b/>
          <w:sz w:val="32"/>
          <w:szCs w:val="32"/>
          <w:u w:val="single"/>
        </w:rPr>
        <w:t>Corporate Compliance:  Additional Resources</w:t>
      </w:r>
    </w:p>
    <w:p w14:paraId="1766D4ED" w14:textId="77777777" w:rsidR="00BF37F0" w:rsidRPr="00BF37F0" w:rsidRDefault="00BF37F0" w:rsidP="00827BC7">
      <w:pPr>
        <w:spacing w:before="120" w:after="120"/>
        <w:jc w:val="center"/>
        <w:rPr>
          <w:rFonts w:cs="Arial"/>
          <w:b/>
          <w:u w:val="single"/>
        </w:rPr>
      </w:pPr>
    </w:p>
    <w:p w14:paraId="1E51D5BC" w14:textId="77777777" w:rsidR="00DF1F02" w:rsidRPr="00DF1F02" w:rsidRDefault="00DF1F02" w:rsidP="00DF1F02">
      <w:pPr>
        <w:spacing w:before="120" w:after="120"/>
        <w:jc w:val="both"/>
        <w:rPr>
          <w:rFonts w:cs="Arial"/>
        </w:rPr>
      </w:pPr>
      <w:r>
        <w:rPr>
          <w:rFonts w:cs="Arial"/>
        </w:rPr>
        <w:t xml:space="preserve"> </w:t>
      </w:r>
      <w:r w:rsidRPr="00DF1F02">
        <w:rPr>
          <w:rFonts w:cs="Arial"/>
        </w:rPr>
        <w:t>“Vast Mexico Bribery Case Hushed Up by Wal-Mart After Top-Level Struggle”</w:t>
      </w:r>
      <w:r>
        <w:rPr>
          <w:rFonts w:cs="Arial"/>
        </w:rPr>
        <w:t>, The New York Times, April 21, 2012:</w:t>
      </w:r>
    </w:p>
    <w:p w14:paraId="4481445F" w14:textId="77777777" w:rsidR="00DF1F02" w:rsidRDefault="00827BC7" w:rsidP="00DF1F02">
      <w:pPr>
        <w:spacing w:before="120" w:after="120"/>
        <w:jc w:val="both"/>
        <w:rPr>
          <w:rFonts w:cs="Arial"/>
        </w:rPr>
      </w:pPr>
      <w:hyperlink r:id="rId5" w:history="1">
        <w:r w:rsidR="009C7C30" w:rsidRPr="00557A85">
          <w:rPr>
            <w:rStyle w:val="Hyperlink"/>
            <w:rFonts w:cs="Arial"/>
          </w:rPr>
          <w:t>http://www.nytimes.com/2012/04/22/business/at-wal-mart-in-mexico-a-bribe-inquiry-silenced.html?_r=1&amp;nl=todaysheadlines&amp;emc=edit_th_20120422</w:t>
        </w:r>
      </w:hyperlink>
    </w:p>
    <w:p w14:paraId="6B107116" w14:textId="77777777" w:rsidR="009C7C30" w:rsidRDefault="009C7C30" w:rsidP="00DF1F02">
      <w:pPr>
        <w:spacing w:before="120" w:after="120"/>
        <w:jc w:val="both"/>
        <w:rPr>
          <w:rFonts w:cs="Arial"/>
        </w:rPr>
      </w:pPr>
    </w:p>
    <w:p w14:paraId="70CF3933" w14:textId="77777777" w:rsidR="009C7C30" w:rsidRDefault="009C7C30" w:rsidP="00DF1F02">
      <w:pPr>
        <w:spacing w:before="120" w:after="120"/>
        <w:jc w:val="both"/>
        <w:rPr>
          <w:rFonts w:cs="Arial"/>
        </w:rPr>
      </w:pPr>
      <w:r>
        <w:rPr>
          <w:rFonts w:cs="Arial"/>
        </w:rPr>
        <w:t>Harvard Law School Program on the Legal Profession, “</w:t>
      </w:r>
      <w:r w:rsidRPr="00BD3443">
        <w:rPr>
          <w:rFonts w:cs="Arial"/>
          <w:b/>
        </w:rPr>
        <w:t>General Counsel as Lawyer-Statesman</w:t>
      </w:r>
      <w:r>
        <w:rPr>
          <w:rFonts w:cs="Arial"/>
        </w:rPr>
        <w:t xml:space="preserve">” a Blue Paper by Ben W. </w:t>
      </w:r>
      <w:proofErr w:type="spellStart"/>
      <w:r>
        <w:rPr>
          <w:rFonts w:cs="Arial"/>
        </w:rPr>
        <w:t>Heineman</w:t>
      </w:r>
      <w:proofErr w:type="spellEnd"/>
      <w:r>
        <w:rPr>
          <w:rFonts w:cs="Arial"/>
        </w:rPr>
        <w:t>, Jr.</w:t>
      </w:r>
    </w:p>
    <w:p w14:paraId="1456DFE5" w14:textId="1632B8DA" w:rsidR="00DF1F02" w:rsidRDefault="009C7C30" w:rsidP="00DF1F02">
      <w:pPr>
        <w:spacing w:before="120" w:after="120"/>
        <w:jc w:val="both"/>
        <w:rPr>
          <w:rFonts w:cs="Arial"/>
        </w:rPr>
      </w:pPr>
      <w:r w:rsidRPr="009C7C30">
        <w:rPr>
          <w:rFonts w:cs="Arial"/>
        </w:rPr>
        <w:t>http://www.law.harvard.edu/programs/corp_gov/articles/Heineman_HLS_Legal-Profession-Program.pdf</w:t>
      </w:r>
    </w:p>
    <w:p w14:paraId="5F034F34" w14:textId="77777777" w:rsidR="00BF37F0" w:rsidRDefault="00BF37F0" w:rsidP="006015D3">
      <w:pPr>
        <w:spacing w:before="120" w:after="120"/>
        <w:jc w:val="both"/>
        <w:rPr>
          <w:rFonts w:cs="Arial"/>
          <w:smallCaps/>
        </w:rPr>
      </w:pPr>
    </w:p>
    <w:p w14:paraId="63D822DD" w14:textId="77777777" w:rsidR="006015D3" w:rsidRDefault="006015D3" w:rsidP="006015D3">
      <w:pPr>
        <w:spacing w:before="120" w:after="120"/>
        <w:jc w:val="both"/>
        <w:rPr>
          <w:rFonts w:cs="Arial"/>
          <w:smallCaps/>
        </w:rPr>
      </w:pPr>
      <w:r>
        <w:rPr>
          <w:rFonts w:cs="Arial"/>
          <w:smallCaps/>
        </w:rPr>
        <w:t xml:space="preserve">“The In-House World According to Ben </w:t>
      </w:r>
      <w:proofErr w:type="spellStart"/>
      <w:r>
        <w:rPr>
          <w:rFonts w:cs="Arial"/>
          <w:smallCaps/>
        </w:rPr>
        <w:t>Heineman</w:t>
      </w:r>
      <w:proofErr w:type="spellEnd"/>
      <w:r>
        <w:rPr>
          <w:rFonts w:cs="Arial"/>
          <w:smallCaps/>
        </w:rPr>
        <w:t>, Jr.”, Corporate Counsel, April 9, 2012</w:t>
      </w:r>
    </w:p>
    <w:p w14:paraId="75BE6DD8" w14:textId="77777777" w:rsidR="006015D3" w:rsidRPr="00DF1F02" w:rsidRDefault="006015D3" w:rsidP="006015D3">
      <w:pPr>
        <w:spacing w:before="120" w:after="120"/>
        <w:jc w:val="both"/>
        <w:rPr>
          <w:rFonts w:cs="Arial"/>
        </w:rPr>
      </w:pPr>
      <w:r w:rsidRPr="00F92C37">
        <w:rPr>
          <w:rFonts w:cs="Arial"/>
          <w:smallCaps/>
        </w:rPr>
        <w:t>http://www.law.com/jsp/cc/PubArticleCC.jsp</w:t>
      </w:r>
      <w:proofErr w:type="gramStart"/>
      <w:r w:rsidRPr="00F92C37">
        <w:rPr>
          <w:rFonts w:cs="Arial"/>
          <w:smallCaps/>
        </w:rPr>
        <w:t>?id</w:t>
      </w:r>
      <w:proofErr w:type="gramEnd"/>
      <w:r w:rsidRPr="00F92C37">
        <w:rPr>
          <w:rFonts w:cs="Arial"/>
          <w:smallCaps/>
        </w:rPr>
        <w:t>=1202548233694&amp;The_InHouse_World_According_to_Ben_Heineman_Jr</w:t>
      </w:r>
    </w:p>
    <w:p w14:paraId="79765061" w14:textId="77777777" w:rsidR="00BD3443" w:rsidRDefault="00BD3443" w:rsidP="00DF1F02">
      <w:pPr>
        <w:widowControl w:val="0"/>
        <w:autoSpaceDE w:val="0"/>
        <w:autoSpaceDN w:val="0"/>
        <w:adjustRightInd w:val="0"/>
        <w:rPr>
          <w:rFonts w:eastAsiaTheme="minorEastAsia" w:cs="Arial"/>
        </w:rPr>
      </w:pPr>
    </w:p>
    <w:p w14:paraId="3C37815A" w14:textId="1D026631" w:rsidR="00DF1F02" w:rsidRDefault="00DF1F02" w:rsidP="00DF1F02">
      <w:pPr>
        <w:widowControl w:val="0"/>
        <w:autoSpaceDE w:val="0"/>
        <w:autoSpaceDN w:val="0"/>
        <w:adjustRightInd w:val="0"/>
        <w:rPr>
          <w:rFonts w:eastAsiaTheme="minorEastAsia" w:cs="Arial"/>
        </w:rPr>
      </w:pPr>
      <w:r w:rsidRPr="00DF1F02">
        <w:rPr>
          <w:rFonts w:eastAsiaTheme="minorEastAsia" w:cs="Arial"/>
        </w:rPr>
        <w:t>Office of Inspector General (part of HHS but useful for other industries</w:t>
      </w:r>
      <w:proofErr w:type="gramStart"/>
      <w:r w:rsidRPr="00DF1F02">
        <w:rPr>
          <w:rFonts w:eastAsiaTheme="minorEastAsia" w:cs="Arial"/>
        </w:rPr>
        <w:t>:  </w:t>
      </w:r>
      <w:proofErr w:type="gramEnd"/>
      <w:r w:rsidR="00827BC7">
        <w:fldChar w:fldCharType="begin"/>
      </w:r>
      <w:r w:rsidR="00827BC7">
        <w:instrText xml:space="preserve"> HYPERLINK "http://oig.hhs.gov/compliance/compliance-guidance/index.asp" </w:instrText>
      </w:r>
      <w:r w:rsidR="00827BC7">
        <w:fldChar w:fldCharType="separate"/>
      </w:r>
      <w:r w:rsidRPr="00DF1F02">
        <w:rPr>
          <w:rFonts w:eastAsiaTheme="minorEastAsia" w:cs="Arial"/>
          <w:color w:val="0000FF"/>
          <w:u w:val="single" w:color="0000FF"/>
        </w:rPr>
        <w:t>http://oig.hhs.gov/compliance/compliance-guidance/index.asp</w:t>
      </w:r>
      <w:r w:rsidR="00827BC7">
        <w:rPr>
          <w:rFonts w:eastAsiaTheme="minorEastAsia" w:cs="Arial"/>
          <w:color w:val="0000FF"/>
          <w:u w:val="single" w:color="0000FF"/>
        </w:rPr>
        <w:fldChar w:fldCharType="end"/>
      </w:r>
    </w:p>
    <w:p w14:paraId="386A3003" w14:textId="77777777" w:rsidR="00DF1F02" w:rsidRPr="00DF1F02" w:rsidRDefault="00DF1F02" w:rsidP="00DF1F02">
      <w:pPr>
        <w:widowControl w:val="0"/>
        <w:autoSpaceDE w:val="0"/>
        <w:autoSpaceDN w:val="0"/>
        <w:adjustRightInd w:val="0"/>
        <w:rPr>
          <w:rFonts w:eastAsiaTheme="minorEastAsia" w:cs="Arial"/>
        </w:rPr>
      </w:pPr>
      <w:r w:rsidRPr="00DF1F02">
        <w:rPr>
          <w:rFonts w:eastAsiaTheme="minorEastAsia" w:cs="Arial"/>
        </w:rPr>
        <w:t> </w:t>
      </w:r>
    </w:p>
    <w:p w14:paraId="5CC0C685" w14:textId="77777777" w:rsidR="006015D3" w:rsidRDefault="00DF1F02" w:rsidP="00DF1F02">
      <w:pPr>
        <w:widowControl w:val="0"/>
        <w:autoSpaceDE w:val="0"/>
        <w:autoSpaceDN w:val="0"/>
        <w:adjustRightInd w:val="0"/>
        <w:rPr>
          <w:rFonts w:eastAsiaTheme="minorEastAsia" w:cs="Arial"/>
        </w:rPr>
      </w:pPr>
      <w:r w:rsidRPr="00DF1F02">
        <w:rPr>
          <w:rFonts w:eastAsiaTheme="minorEastAsia" w:cs="Arial"/>
        </w:rPr>
        <w:t xml:space="preserve">Federal Sentencing Guidelines for Organizations:  </w:t>
      </w:r>
    </w:p>
    <w:p w14:paraId="6A8CB794" w14:textId="77777777" w:rsidR="00DF1F02" w:rsidRPr="00DF1F02" w:rsidRDefault="00827BC7" w:rsidP="00DF1F02">
      <w:pPr>
        <w:widowControl w:val="0"/>
        <w:autoSpaceDE w:val="0"/>
        <w:autoSpaceDN w:val="0"/>
        <w:adjustRightInd w:val="0"/>
        <w:rPr>
          <w:rFonts w:eastAsiaTheme="minorEastAsia" w:cs="Arial"/>
        </w:rPr>
      </w:pPr>
      <w:hyperlink r:id="rId6" w:history="1">
        <w:r w:rsidR="00DF1F02" w:rsidRPr="00DF1F02">
          <w:rPr>
            <w:rFonts w:eastAsiaTheme="minorEastAsia" w:cs="Arial"/>
            <w:color w:val="0000FF"/>
            <w:u w:val="single" w:color="0000FF"/>
          </w:rPr>
          <w:t>http://www.ussc.gov/Guidelines/Organizational_Guidelines/Selected_Articles/Murphy1.pdf</w:t>
        </w:r>
      </w:hyperlink>
    </w:p>
    <w:p w14:paraId="3FDCF634" w14:textId="001739A6" w:rsidR="00DF1F02" w:rsidRPr="00DF1F02" w:rsidRDefault="00DF1F02" w:rsidP="00DF1F02">
      <w:pPr>
        <w:widowControl w:val="0"/>
        <w:autoSpaceDE w:val="0"/>
        <w:autoSpaceDN w:val="0"/>
        <w:adjustRightInd w:val="0"/>
        <w:rPr>
          <w:rFonts w:eastAsiaTheme="minorEastAsia" w:cs="Arial"/>
        </w:rPr>
      </w:pPr>
    </w:p>
    <w:p w14:paraId="1ADDFE3D" w14:textId="77777777" w:rsidR="00DF1F02" w:rsidRPr="00DF1F02" w:rsidRDefault="00DF1F02" w:rsidP="00DF1F02">
      <w:pPr>
        <w:widowControl w:val="0"/>
        <w:autoSpaceDE w:val="0"/>
        <w:autoSpaceDN w:val="0"/>
        <w:adjustRightInd w:val="0"/>
        <w:rPr>
          <w:rFonts w:eastAsiaTheme="minorEastAsia" w:cs="Arial"/>
        </w:rPr>
      </w:pPr>
      <w:r w:rsidRPr="00DF1F02">
        <w:rPr>
          <w:rFonts w:eastAsiaTheme="minorEastAsia" w:cs="Arial"/>
        </w:rPr>
        <w:t>Wear Two Hats – In house counsel and compliance officer:</w:t>
      </w:r>
    </w:p>
    <w:p w14:paraId="516F195D" w14:textId="77777777" w:rsidR="00DF1F02" w:rsidRPr="00DF1F02" w:rsidRDefault="00827BC7" w:rsidP="00DF1F02">
      <w:pPr>
        <w:widowControl w:val="0"/>
        <w:autoSpaceDE w:val="0"/>
        <w:autoSpaceDN w:val="0"/>
        <w:adjustRightInd w:val="0"/>
        <w:rPr>
          <w:rFonts w:eastAsiaTheme="minorEastAsia" w:cs="Arial"/>
        </w:rPr>
      </w:pPr>
      <w:hyperlink r:id="rId7" w:history="1">
        <w:r w:rsidR="00DF1F02" w:rsidRPr="00DF1F02">
          <w:rPr>
            <w:rFonts w:eastAsiaTheme="minorEastAsia" w:cs="Arial"/>
            <w:color w:val="0000FF"/>
            <w:u w:val="single" w:color="0000FF"/>
          </w:rPr>
          <w:t>http://www.ncmahq.org/files/Articles/CM0212%20-%2018-25.pdf</w:t>
        </w:r>
      </w:hyperlink>
    </w:p>
    <w:p w14:paraId="0CE39517" w14:textId="160B5299" w:rsidR="00DF1F02" w:rsidRDefault="00DF1F02" w:rsidP="00DF1F02">
      <w:pPr>
        <w:widowControl w:val="0"/>
        <w:autoSpaceDE w:val="0"/>
        <w:autoSpaceDN w:val="0"/>
        <w:adjustRightInd w:val="0"/>
        <w:rPr>
          <w:rFonts w:eastAsiaTheme="minorEastAsia" w:cs="Arial"/>
        </w:rPr>
      </w:pPr>
      <w:r w:rsidRPr="00DF1F02">
        <w:rPr>
          <w:rFonts w:eastAsiaTheme="minorEastAsia" w:cs="Arial"/>
        </w:rPr>
        <w:t> </w:t>
      </w:r>
    </w:p>
    <w:p w14:paraId="11DB4C3B" w14:textId="77777777" w:rsidR="006015D3" w:rsidRDefault="00DF1F02" w:rsidP="00DF1F02">
      <w:pPr>
        <w:widowControl w:val="0"/>
        <w:autoSpaceDE w:val="0"/>
        <w:autoSpaceDN w:val="0"/>
        <w:adjustRightInd w:val="0"/>
        <w:rPr>
          <w:rFonts w:eastAsiaTheme="minorEastAsia" w:cs="Arial"/>
        </w:rPr>
      </w:pPr>
      <w:r w:rsidRPr="00DF1F02">
        <w:rPr>
          <w:rFonts w:eastAsiaTheme="minorEastAsia" w:cs="Arial"/>
        </w:rPr>
        <w:t xml:space="preserve">Association of Corporate Counsel:  </w:t>
      </w:r>
    </w:p>
    <w:p w14:paraId="250821BE" w14:textId="77777777" w:rsidR="00DF1F02" w:rsidRPr="00DF1F02" w:rsidRDefault="00827BC7" w:rsidP="00DF1F02">
      <w:pPr>
        <w:widowControl w:val="0"/>
        <w:autoSpaceDE w:val="0"/>
        <w:autoSpaceDN w:val="0"/>
        <w:adjustRightInd w:val="0"/>
        <w:rPr>
          <w:rFonts w:eastAsiaTheme="minorEastAsia" w:cs="Arial"/>
        </w:rPr>
      </w:pPr>
      <w:hyperlink r:id="rId8" w:history="1">
        <w:r w:rsidR="00DF1F02" w:rsidRPr="00DF1F02">
          <w:rPr>
            <w:rFonts w:eastAsiaTheme="minorEastAsia" w:cs="Arial"/>
            <w:color w:val="0000FF"/>
            <w:u w:val="single" w:color="0000FF"/>
          </w:rPr>
          <w:t>http://www.acc.com/legalresources/resourcecenter.cfm?rs_pa=5</w:t>
        </w:r>
      </w:hyperlink>
    </w:p>
    <w:p w14:paraId="49D1945C" w14:textId="77777777" w:rsidR="00DF1F02" w:rsidRPr="00DF1F02" w:rsidRDefault="00DF1F02" w:rsidP="00DF1F02">
      <w:pPr>
        <w:widowControl w:val="0"/>
        <w:autoSpaceDE w:val="0"/>
        <w:autoSpaceDN w:val="0"/>
        <w:adjustRightInd w:val="0"/>
        <w:rPr>
          <w:rFonts w:eastAsiaTheme="minorEastAsia" w:cs="Arial"/>
        </w:rPr>
      </w:pPr>
      <w:r w:rsidRPr="00DF1F02">
        <w:rPr>
          <w:rFonts w:eastAsiaTheme="minorEastAsia" w:cs="Arial"/>
        </w:rPr>
        <w:t> </w:t>
      </w:r>
    </w:p>
    <w:p w14:paraId="20A01E27" w14:textId="3E18C268" w:rsidR="00BD3443" w:rsidRPr="00BD3443" w:rsidRDefault="00DF1F02" w:rsidP="0053626D">
      <w:pPr>
        <w:spacing w:before="120" w:after="120"/>
        <w:jc w:val="both"/>
        <w:rPr>
          <w:rFonts w:eastAsiaTheme="minorEastAsia" w:cs="Arial"/>
          <w:color w:val="0000FF"/>
          <w:u w:val="single" w:color="0000FF"/>
        </w:rPr>
      </w:pPr>
      <w:r w:rsidRPr="00DF1F02">
        <w:rPr>
          <w:rFonts w:eastAsiaTheme="minorEastAsia" w:cs="Arial"/>
        </w:rPr>
        <w:t>Corporate Compliance Insights</w:t>
      </w:r>
      <w:proofErr w:type="gramStart"/>
      <w:r w:rsidRPr="00DF1F02">
        <w:rPr>
          <w:rFonts w:eastAsiaTheme="minorEastAsia" w:cs="Arial"/>
        </w:rPr>
        <w:t xml:space="preserve">:  </w:t>
      </w:r>
      <w:proofErr w:type="gramEnd"/>
      <w:r w:rsidR="00BD3443">
        <w:rPr>
          <w:rFonts w:eastAsiaTheme="minorEastAsia" w:cs="Arial"/>
          <w:color w:val="0000FF"/>
          <w:u w:val="single" w:color="0000FF"/>
        </w:rPr>
        <w:fldChar w:fldCharType="begin"/>
      </w:r>
      <w:r w:rsidR="00BD3443">
        <w:rPr>
          <w:rFonts w:eastAsiaTheme="minorEastAsia" w:cs="Arial"/>
          <w:color w:val="0000FF"/>
          <w:u w:val="single" w:color="0000FF"/>
        </w:rPr>
        <w:instrText xml:space="preserve"> HYPERLINK "</w:instrText>
      </w:r>
      <w:r w:rsidR="00BD3443" w:rsidRPr="00DF1F02">
        <w:rPr>
          <w:rFonts w:eastAsiaTheme="minorEastAsia" w:cs="Arial"/>
          <w:color w:val="0000FF"/>
          <w:u w:val="single" w:color="0000FF"/>
        </w:rPr>
        <w:instrText>http://www.corporatecomplianceinsights.co</w:instrText>
      </w:r>
      <w:r w:rsidR="00BD3443">
        <w:rPr>
          <w:rFonts w:eastAsiaTheme="minorEastAsia" w:cs="Arial"/>
          <w:color w:val="0000FF"/>
          <w:u w:val="single" w:color="0000FF"/>
        </w:rPr>
        <w:instrText xml:space="preserve">m" </w:instrText>
      </w:r>
      <w:r w:rsidR="00BD3443">
        <w:rPr>
          <w:rFonts w:eastAsiaTheme="minorEastAsia" w:cs="Arial"/>
          <w:color w:val="0000FF"/>
          <w:u w:val="single" w:color="0000FF"/>
        </w:rPr>
        <w:fldChar w:fldCharType="separate"/>
      </w:r>
      <w:r w:rsidR="00BD3443" w:rsidRPr="00B067A2">
        <w:rPr>
          <w:rStyle w:val="Hyperlink"/>
          <w:rFonts w:eastAsiaTheme="minorEastAsia" w:cs="Arial"/>
          <w:u w:color="0000FF"/>
        </w:rPr>
        <w:t>http://www.corporatecomplianceinsights.com</w:t>
      </w:r>
      <w:r w:rsidR="00BD3443">
        <w:rPr>
          <w:rFonts w:eastAsiaTheme="minorEastAsia" w:cs="Arial"/>
          <w:color w:val="0000FF"/>
          <w:u w:val="single" w:color="0000FF"/>
        </w:rPr>
        <w:fldChar w:fldCharType="end"/>
      </w:r>
    </w:p>
    <w:p w14:paraId="56E6E7BF" w14:textId="77777777" w:rsidR="00BD3443" w:rsidRDefault="00BD3443" w:rsidP="00BD3443">
      <w:pPr>
        <w:widowControl w:val="0"/>
        <w:autoSpaceDE w:val="0"/>
        <w:autoSpaceDN w:val="0"/>
        <w:adjustRightInd w:val="0"/>
        <w:rPr>
          <w:rFonts w:eastAsiaTheme="minorEastAsia" w:cs="Arial"/>
        </w:rPr>
      </w:pPr>
    </w:p>
    <w:p w14:paraId="4A6CA024" w14:textId="77777777" w:rsidR="00BD3443" w:rsidRPr="00BD3443" w:rsidRDefault="00BD3443" w:rsidP="00BD3443">
      <w:pPr>
        <w:widowControl w:val="0"/>
        <w:autoSpaceDE w:val="0"/>
        <w:autoSpaceDN w:val="0"/>
        <w:adjustRightInd w:val="0"/>
        <w:rPr>
          <w:rFonts w:eastAsiaTheme="minorEastAsia" w:cs="Arial"/>
        </w:rPr>
      </w:pPr>
      <w:r w:rsidRPr="00BD3443">
        <w:rPr>
          <w:rFonts w:eastAsiaTheme="minorEastAsia" w:cs="Arial"/>
        </w:rPr>
        <w:t>FCPA Blog</w:t>
      </w:r>
      <w:proofErr w:type="gramStart"/>
      <w:r w:rsidRPr="00BD3443">
        <w:rPr>
          <w:rFonts w:eastAsiaTheme="minorEastAsia" w:cs="Arial"/>
        </w:rPr>
        <w:t>:  </w:t>
      </w:r>
      <w:proofErr w:type="gramEnd"/>
      <w:r w:rsidRPr="00BD3443">
        <w:rPr>
          <w:rFonts w:eastAsiaTheme="minorEastAsia" w:cs="Arial"/>
        </w:rPr>
        <w:fldChar w:fldCharType="begin"/>
      </w:r>
      <w:r w:rsidRPr="00BD3443">
        <w:rPr>
          <w:rFonts w:eastAsiaTheme="minorEastAsia" w:cs="Arial"/>
        </w:rPr>
        <w:instrText>HYPERLINK "http://www.fcpablog.com/"</w:instrText>
      </w:r>
      <w:r w:rsidRPr="00BD3443">
        <w:rPr>
          <w:rFonts w:eastAsiaTheme="minorEastAsia" w:cs="Arial"/>
        </w:rPr>
      </w:r>
      <w:r w:rsidRPr="00BD3443">
        <w:rPr>
          <w:rFonts w:eastAsiaTheme="minorEastAsia" w:cs="Arial"/>
        </w:rPr>
        <w:fldChar w:fldCharType="separate"/>
      </w:r>
      <w:r w:rsidRPr="00BD3443">
        <w:rPr>
          <w:rFonts w:eastAsiaTheme="minorEastAsia" w:cs="Arial"/>
          <w:color w:val="0000FF"/>
          <w:u w:val="single" w:color="0000FF"/>
        </w:rPr>
        <w:t>www.fcpablog.com</w:t>
      </w:r>
      <w:r w:rsidRPr="00BD3443">
        <w:rPr>
          <w:rFonts w:eastAsiaTheme="minorEastAsia" w:cs="Arial"/>
        </w:rPr>
        <w:fldChar w:fldCharType="end"/>
      </w:r>
      <w:r w:rsidRPr="00BD3443">
        <w:rPr>
          <w:rFonts w:eastAsiaTheme="minorEastAsia" w:cs="Arial"/>
        </w:rPr>
        <w:t xml:space="preserve"> [probably the best site for FCPA]</w:t>
      </w:r>
    </w:p>
    <w:p w14:paraId="444853E7" w14:textId="77777777" w:rsidR="00BD3443" w:rsidRPr="00BD3443" w:rsidRDefault="00BD3443" w:rsidP="00BD3443">
      <w:pPr>
        <w:widowControl w:val="0"/>
        <w:autoSpaceDE w:val="0"/>
        <w:autoSpaceDN w:val="0"/>
        <w:adjustRightInd w:val="0"/>
        <w:rPr>
          <w:rFonts w:eastAsiaTheme="minorEastAsia" w:cs="Arial"/>
        </w:rPr>
      </w:pPr>
      <w:r w:rsidRPr="00BD3443">
        <w:rPr>
          <w:rFonts w:eastAsiaTheme="minorEastAsia" w:cs="Arial"/>
        </w:rPr>
        <w:t> </w:t>
      </w:r>
    </w:p>
    <w:p w14:paraId="25C7A20E" w14:textId="77777777" w:rsidR="00BD3443" w:rsidRPr="00BD3443" w:rsidRDefault="00BD3443" w:rsidP="00BD3443">
      <w:pPr>
        <w:widowControl w:val="0"/>
        <w:autoSpaceDE w:val="0"/>
        <w:autoSpaceDN w:val="0"/>
        <w:adjustRightInd w:val="0"/>
        <w:rPr>
          <w:rFonts w:eastAsiaTheme="minorEastAsia" w:cs="Arial"/>
        </w:rPr>
      </w:pPr>
      <w:proofErr w:type="spellStart"/>
      <w:r w:rsidRPr="00BD3443">
        <w:rPr>
          <w:rFonts w:eastAsiaTheme="minorEastAsia" w:cs="Arial"/>
        </w:rPr>
        <w:t>Ethisphere</w:t>
      </w:r>
      <w:proofErr w:type="spellEnd"/>
      <w:r w:rsidRPr="00BD3443">
        <w:rPr>
          <w:rFonts w:eastAsiaTheme="minorEastAsia" w:cs="Arial"/>
        </w:rPr>
        <w:t xml:space="preserve">: </w:t>
      </w:r>
      <w:hyperlink r:id="rId9" w:history="1">
        <w:r w:rsidRPr="00BD3443">
          <w:rPr>
            <w:rFonts w:eastAsiaTheme="minorEastAsia" w:cs="Arial"/>
            <w:color w:val="0000FF"/>
            <w:u w:val="single" w:color="0000FF"/>
          </w:rPr>
          <w:t>www.ethisphere.com</w:t>
        </w:r>
      </w:hyperlink>
    </w:p>
    <w:p w14:paraId="76A0C474" w14:textId="77777777" w:rsidR="00BD3443" w:rsidRPr="00BD3443" w:rsidRDefault="00BD3443" w:rsidP="00BD3443">
      <w:pPr>
        <w:widowControl w:val="0"/>
        <w:autoSpaceDE w:val="0"/>
        <w:autoSpaceDN w:val="0"/>
        <w:adjustRightInd w:val="0"/>
        <w:rPr>
          <w:rFonts w:eastAsiaTheme="minorEastAsia" w:cs="Arial"/>
        </w:rPr>
      </w:pPr>
      <w:r w:rsidRPr="00BD3443">
        <w:rPr>
          <w:rFonts w:eastAsiaTheme="minorEastAsia" w:cs="Arial"/>
        </w:rPr>
        <w:t> </w:t>
      </w:r>
    </w:p>
    <w:p w14:paraId="0A1EAE64" w14:textId="1CAC973D" w:rsidR="00BD3443" w:rsidRDefault="00BD3443" w:rsidP="00BD3443">
      <w:pPr>
        <w:widowControl w:val="0"/>
        <w:autoSpaceDE w:val="0"/>
        <w:autoSpaceDN w:val="0"/>
        <w:adjustRightInd w:val="0"/>
        <w:rPr>
          <w:rFonts w:eastAsiaTheme="minorEastAsia" w:cs="Arial"/>
        </w:rPr>
      </w:pPr>
      <w:r w:rsidRPr="00BD3443">
        <w:rPr>
          <w:rFonts w:eastAsiaTheme="minorEastAsia" w:cs="Arial"/>
        </w:rPr>
        <w:t xml:space="preserve">Compliance Week: </w:t>
      </w:r>
      <w:hyperlink r:id="rId10" w:history="1">
        <w:r w:rsidRPr="00BD3443">
          <w:rPr>
            <w:rFonts w:eastAsiaTheme="minorEastAsia" w:cs="Arial"/>
            <w:color w:val="0000FF"/>
            <w:u w:val="single" w:color="0000FF"/>
          </w:rPr>
          <w:t>www.complianceweek.com</w:t>
        </w:r>
      </w:hyperlink>
    </w:p>
    <w:p w14:paraId="2432D27C" w14:textId="77777777" w:rsidR="00BF37F0" w:rsidRPr="00BD3443" w:rsidRDefault="00BF37F0" w:rsidP="00BD3443">
      <w:pPr>
        <w:widowControl w:val="0"/>
        <w:autoSpaceDE w:val="0"/>
        <w:autoSpaceDN w:val="0"/>
        <w:adjustRightInd w:val="0"/>
        <w:rPr>
          <w:rFonts w:eastAsiaTheme="minorEastAsia" w:cs="Arial"/>
        </w:rPr>
      </w:pPr>
    </w:p>
    <w:p w14:paraId="0426E396" w14:textId="465ECE2F" w:rsidR="00BD3443" w:rsidRPr="00BD3443" w:rsidRDefault="00BD3443" w:rsidP="00BD3443">
      <w:pPr>
        <w:spacing w:before="120" w:after="120"/>
        <w:jc w:val="both"/>
        <w:rPr>
          <w:rFonts w:cs="Arial"/>
        </w:rPr>
      </w:pPr>
      <w:r>
        <w:rPr>
          <w:rFonts w:eastAsiaTheme="minorEastAsia" w:cs="Arial"/>
        </w:rPr>
        <w:t>Also, DOJ and SEC websites</w:t>
      </w:r>
      <w:proofErr w:type="gramStart"/>
      <w:r>
        <w:rPr>
          <w:rFonts w:eastAsiaTheme="minorEastAsia" w:cs="Arial"/>
        </w:rPr>
        <w:t xml:space="preserve">:  </w:t>
      </w:r>
      <w:proofErr w:type="gramEnd"/>
      <w:hyperlink r:id="rId11" w:history="1">
        <w:r w:rsidRPr="00BD3443">
          <w:rPr>
            <w:rFonts w:eastAsiaTheme="minorEastAsia" w:cs="Arial"/>
            <w:color w:val="0000FF"/>
            <w:u w:val="single" w:color="0000FF"/>
          </w:rPr>
          <w:t>www.justice.gov</w:t>
        </w:r>
      </w:hyperlink>
      <w:r w:rsidRPr="00BD3443">
        <w:rPr>
          <w:rFonts w:eastAsiaTheme="minorEastAsia" w:cs="Arial"/>
        </w:rPr>
        <w:t xml:space="preserve"> and </w:t>
      </w:r>
      <w:hyperlink r:id="rId12" w:history="1">
        <w:r w:rsidRPr="00BD3443">
          <w:rPr>
            <w:rFonts w:eastAsiaTheme="minorEastAsia" w:cs="Arial"/>
            <w:color w:val="0000FF"/>
            <w:u w:val="single" w:color="0000FF"/>
          </w:rPr>
          <w:t>www.sec.gov</w:t>
        </w:r>
      </w:hyperlink>
    </w:p>
    <w:sectPr w:rsidR="00BD3443" w:rsidRPr="00BD3443" w:rsidSect="004E06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F02"/>
    <w:rsid w:val="00421950"/>
    <w:rsid w:val="004E0633"/>
    <w:rsid w:val="0053626D"/>
    <w:rsid w:val="00595D7C"/>
    <w:rsid w:val="006015D3"/>
    <w:rsid w:val="006C3BDF"/>
    <w:rsid w:val="00827BC7"/>
    <w:rsid w:val="00870401"/>
    <w:rsid w:val="009265AD"/>
    <w:rsid w:val="009C7C30"/>
    <w:rsid w:val="00BD3443"/>
    <w:rsid w:val="00BF37F0"/>
    <w:rsid w:val="00C4027D"/>
    <w:rsid w:val="00DF1F02"/>
    <w:rsid w:val="00F51F2D"/>
    <w:rsid w:val="00F9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B88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02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C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02"/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justice.gov/" TargetMode="External"/><Relationship Id="rId12" Type="http://schemas.openxmlformats.org/officeDocument/2006/relationships/hyperlink" Target="http://www.sec.gov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ytimes.com/2012/04/22/business/at-wal-mart-in-mexico-a-bribe-inquiry-silenced.html?_r=1&amp;nl=todaysheadlines&amp;emc=edit_th_20120422" TargetMode="External"/><Relationship Id="rId6" Type="http://schemas.openxmlformats.org/officeDocument/2006/relationships/hyperlink" Target="http://www.ussc.gov/Guidelines/Organizational_Guidelines/Selected_Articles/Murphy1.pdf" TargetMode="External"/><Relationship Id="rId7" Type="http://schemas.openxmlformats.org/officeDocument/2006/relationships/hyperlink" Target="http://www.ncmahq.org/files/Articles/CM0212%20-%2018-25.pdf" TargetMode="External"/><Relationship Id="rId8" Type="http://schemas.openxmlformats.org/officeDocument/2006/relationships/hyperlink" Target="http://www.acc.com/legalresources/resourcecenter.cfm?rs_pa=5" TargetMode="External"/><Relationship Id="rId9" Type="http://schemas.openxmlformats.org/officeDocument/2006/relationships/hyperlink" Target="http://www.ethisphere.com/" TargetMode="External"/><Relationship Id="rId10" Type="http://schemas.openxmlformats.org/officeDocument/2006/relationships/hyperlink" Target="http://www.compliancewee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558</Words>
  <Characters>3187</Characters>
  <Application>Microsoft Macintosh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2012-04-24T05:12:00Z</dcterms:created>
  <dcterms:modified xsi:type="dcterms:W3CDTF">2012-04-24T20:16:00Z</dcterms:modified>
</cp:coreProperties>
</file>